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B04" w:rsidRDefault="005A5B04">
      <w:r>
        <w:t>Pantallazo Evidencias Supcon</w:t>
      </w:r>
      <w:bookmarkStart w:id="0" w:name="_GoBack"/>
      <w:bookmarkEnd w:id="0"/>
    </w:p>
    <w:p w:rsidR="005A5B04" w:rsidRDefault="005A5B04">
      <w:r>
        <w:rPr>
          <w:noProof/>
        </w:rPr>
        <w:drawing>
          <wp:inline distT="0" distB="0" distL="0" distR="0" wp14:anchorId="18538559" wp14:editId="535C0443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5B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B04"/>
    <w:rsid w:val="005A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4B96F"/>
  <w15:chartTrackingRefBased/>
  <w15:docId w15:val="{DE0A0DAA-52EB-4E5A-BE8B-13662C03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1</cp:revision>
  <dcterms:created xsi:type="dcterms:W3CDTF">2025-12-16T02:43:00Z</dcterms:created>
  <dcterms:modified xsi:type="dcterms:W3CDTF">2025-12-16T02:44:00Z</dcterms:modified>
</cp:coreProperties>
</file>